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F" w:rsidRDefault="003D41CF">
      <w:pPr>
        <w:rPr>
          <w:color w:val="999999"/>
          <w:sz w:val="12"/>
          <w:szCs w:val="12"/>
        </w:rPr>
      </w:pPr>
    </w:p>
    <w:tbl>
      <w:tblPr>
        <w:tblStyle w:val="a"/>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9165"/>
      </w:tblGrid>
      <w:tr w:rsidR="003D41CF">
        <w:trPr>
          <w:jc w:val="center"/>
        </w:trPr>
        <w:tc>
          <w:tcPr>
            <w:tcW w:w="1320" w:type="dxa"/>
            <w:tcBorders>
              <w:top w:val="nil"/>
              <w:left w:val="nil"/>
              <w:bottom w:val="nil"/>
              <w:right w:val="nil"/>
            </w:tcBorders>
            <w:shd w:val="clear" w:color="auto" w:fill="026CB6"/>
            <w:tcMar>
              <w:top w:w="100" w:type="dxa"/>
              <w:left w:w="100" w:type="dxa"/>
              <w:bottom w:w="100" w:type="dxa"/>
              <w:right w:w="100" w:type="dxa"/>
            </w:tcMar>
          </w:tcPr>
          <w:p w:rsidR="003D41CF" w:rsidRDefault="00653816">
            <w:pPr>
              <w:widowControl w:val="0"/>
              <w:pBdr>
                <w:top w:val="nil"/>
                <w:left w:val="nil"/>
                <w:bottom w:val="nil"/>
                <w:right w:val="nil"/>
                <w:between w:val="nil"/>
              </w:pBdr>
              <w:spacing w:line="240" w:lineRule="auto"/>
              <w:jc w:val="center"/>
              <w:rPr>
                <w:color w:val="FFFFFF"/>
                <w:sz w:val="48"/>
                <w:szCs w:val="48"/>
              </w:rPr>
            </w:pPr>
            <w:r>
              <w:rPr>
                <w:color w:val="FFFFFF"/>
                <w:sz w:val="48"/>
                <w:szCs w:val="48"/>
              </w:rPr>
              <w:t>02</w:t>
            </w:r>
          </w:p>
          <w:p w:rsidR="003D41CF" w:rsidRDefault="00653816">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OCHA IM</w:t>
            </w:r>
            <w:r>
              <w:rPr>
                <w:color w:val="FFFFFF"/>
                <w:sz w:val="20"/>
                <w:szCs w:val="20"/>
              </w:rPr>
              <w:t xml:space="preserve"> </w:t>
            </w:r>
            <w:r>
              <w:rPr>
                <w:b/>
                <w:color w:val="FFFFFF"/>
                <w:sz w:val="20"/>
                <w:szCs w:val="20"/>
              </w:rPr>
              <w:t>Guidance Brief</w:t>
            </w:r>
          </w:p>
        </w:tc>
        <w:tc>
          <w:tcPr>
            <w:tcW w:w="9165" w:type="dxa"/>
            <w:tcBorders>
              <w:top w:val="nil"/>
              <w:left w:val="nil"/>
              <w:bottom w:val="nil"/>
              <w:right w:val="nil"/>
            </w:tcBorders>
            <w:shd w:val="clear" w:color="auto" w:fill="F3F3F3"/>
            <w:tcMar>
              <w:top w:w="100" w:type="dxa"/>
              <w:left w:w="100" w:type="dxa"/>
              <w:bottom w:w="100" w:type="dxa"/>
              <w:right w:w="100" w:type="dxa"/>
            </w:tcMar>
          </w:tcPr>
          <w:p w:rsidR="003D41CF" w:rsidRDefault="00653816">
            <w:pPr>
              <w:jc w:val="center"/>
              <w:rPr>
                <w:sz w:val="24"/>
                <w:szCs w:val="24"/>
              </w:rPr>
            </w:pPr>
            <w:r>
              <w:rPr>
                <w:sz w:val="48"/>
                <w:szCs w:val="48"/>
              </w:rPr>
              <w:t>IM Working Group (IMWG) Guidance on Common Operational Datasets (CODs)</w:t>
            </w:r>
          </w:p>
        </w:tc>
      </w:tr>
    </w:tbl>
    <w:p w:rsidR="003D41CF" w:rsidRDefault="003D41CF">
      <w:pPr>
        <w:jc w:val="center"/>
        <w:rPr>
          <w:color w:val="999999"/>
          <w:sz w:val="36"/>
          <w:szCs w:val="36"/>
        </w:rPr>
      </w:pPr>
    </w:p>
    <w:p w:rsidR="003D41CF" w:rsidRDefault="00653816">
      <w:pPr>
        <w:jc w:val="both"/>
        <w:rPr>
          <w:b/>
          <w:color w:val="999999"/>
          <w:sz w:val="28"/>
          <w:szCs w:val="28"/>
        </w:rPr>
      </w:pPr>
      <w:r>
        <w:rPr>
          <w:b/>
          <w:color w:val="999999"/>
          <w:sz w:val="28"/>
          <w:szCs w:val="28"/>
        </w:rPr>
        <w:t>Description</w:t>
      </w:r>
    </w:p>
    <w:p w:rsidR="003D41CF" w:rsidRDefault="00653816">
      <w:pPr>
        <w:jc w:val="both"/>
        <w:rPr>
          <w:color w:val="999999"/>
          <w:sz w:val="24"/>
          <w:szCs w:val="24"/>
        </w:rPr>
      </w:pPr>
      <w:r>
        <w:rPr>
          <w:sz w:val="24"/>
          <w:szCs w:val="24"/>
        </w:rPr>
        <w:t>The global IM Working Group (IMWG) endorsed guidance on CODs in 2016, which is intended to replace previous guidance endorsed by the IASC in 2010.</w:t>
      </w:r>
    </w:p>
    <w:p w:rsidR="003D41CF" w:rsidRDefault="003D41CF">
      <w:pPr>
        <w:jc w:val="both"/>
        <w:rPr>
          <w:color w:val="999999"/>
          <w:sz w:val="24"/>
          <w:szCs w:val="24"/>
        </w:rPr>
      </w:pPr>
    </w:p>
    <w:p w:rsidR="003D41CF" w:rsidRDefault="00653816">
      <w:pPr>
        <w:pBdr>
          <w:top w:val="nil"/>
          <w:left w:val="nil"/>
          <w:bottom w:val="nil"/>
          <w:right w:val="nil"/>
          <w:between w:val="nil"/>
        </w:pBdr>
        <w:jc w:val="both"/>
        <w:rPr>
          <w:b/>
          <w:color w:val="999999"/>
          <w:sz w:val="28"/>
          <w:szCs w:val="28"/>
        </w:rPr>
      </w:pPr>
      <w:r>
        <w:rPr>
          <w:b/>
          <w:color w:val="999999"/>
          <w:sz w:val="28"/>
          <w:szCs w:val="28"/>
        </w:rPr>
        <w:t>What it means for IMOs</w:t>
      </w:r>
    </w:p>
    <w:p w:rsidR="003D41CF" w:rsidRDefault="00653816">
      <w:pPr>
        <w:numPr>
          <w:ilvl w:val="0"/>
          <w:numId w:val="1"/>
        </w:numPr>
        <w:pBdr>
          <w:top w:val="nil"/>
          <w:left w:val="nil"/>
          <w:bottom w:val="nil"/>
          <w:right w:val="nil"/>
          <w:between w:val="nil"/>
        </w:pBdr>
        <w:ind w:left="450"/>
        <w:contextualSpacing/>
        <w:jc w:val="both"/>
        <w:rPr>
          <w:sz w:val="24"/>
          <w:szCs w:val="24"/>
        </w:rPr>
      </w:pPr>
      <w:r>
        <w:rPr>
          <w:sz w:val="24"/>
          <w:szCs w:val="24"/>
        </w:rPr>
        <w:t xml:space="preserve">The guidance </w:t>
      </w:r>
      <w:proofErr w:type="spellStart"/>
      <w:r>
        <w:rPr>
          <w:sz w:val="24"/>
          <w:szCs w:val="24"/>
        </w:rPr>
        <w:t>recognises</w:t>
      </w:r>
      <w:proofErr w:type="spellEnd"/>
      <w:r>
        <w:rPr>
          <w:sz w:val="24"/>
          <w:szCs w:val="24"/>
        </w:rPr>
        <w:t xml:space="preserve"> two 'core CODs' (administrative boundaries and population statistics) that should be in place in all 'disaster-prone' countries. A third core COD (humanitarian profile) is required in all countries with 'ongoing humanitarian operati</w:t>
      </w:r>
      <w:r>
        <w:rPr>
          <w:sz w:val="24"/>
          <w:szCs w:val="24"/>
        </w:rPr>
        <w:t xml:space="preserve">ons'.   </w:t>
      </w:r>
    </w:p>
    <w:p w:rsidR="003D41CF" w:rsidRDefault="00653816">
      <w:pPr>
        <w:numPr>
          <w:ilvl w:val="0"/>
          <w:numId w:val="1"/>
        </w:numPr>
        <w:pBdr>
          <w:top w:val="nil"/>
          <w:left w:val="nil"/>
          <w:bottom w:val="nil"/>
          <w:right w:val="nil"/>
          <w:between w:val="nil"/>
        </w:pBdr>
        <w:ind w:left="450"/>
        <w:contextualSpacing/>
        <w:jc w:val="both"/>
        <w:rPr>
          <w:sz w:val="24"/>
          <w:szCs w:val="24"/>
        </w:rPr>
      </w:pPr>
      <w:r>
        <w:rPr>
          <w:sz w:val="24"/>
          <w:szCs w:val="24"/>
        </w:rPr>
        <w:t>Fundamental Operational Datasets (FODs) have been replaced with the concept of 'country-specific CODs', which allow country teams to agree on datasets that are relevant to their particular context. The list of country-specific datasets should be d</w:t>
      </w:r>
      <w:r>
        <w:rPr>
          <w:sz w:val="24"/>
          <w:szCs w:val="24"/>
        </w:rPr>
        <w:t>escribed in a 'data plan' that's endorsed by the IMWG, as well as the ICCG or HCT.</w:t>
      </w:r>
    </w:p>
    <w:p w:rsidR="003D41CF" w:rsidRDefault="00653816">
      <w:pPr>
        <w:numPr>
          <w:ilvl w:val="0"/>
          <w:numId w:val="1"/>
        </w:numPr>
        <w:pBdr>
          <w:top w:val="nil"/>
          <w:left w:val="nil"/>
          <w:bottom w:val="nil"/>
          <w:right w:val="nil"/>
          <w:between w:val="nil"/>
        </w:pBdr>
        <w:ind w:left="450"/>
        <w:contextualSpacing/>
        <w:jc w:val="both"/>
        <w:rPr>
          <w:sz w:val="24"/>
          <w:szCs w:val="24"/>
        </w:rPr>
      </w:pPr>
      <w:r>
        <w:rPr>
          <w:sz w:val="24"/>
          <w:szCs w:val="24"/>
        </w:rPr>
        <w:t xml:space="preserve">Not all datasets should be CODs. CODs should be relevant, </w:t>
      </w:r>
      <w:r w:rsidR="006232A3">
        <w:rPr>
          <w:sz w:val="24"/>
          <w:szCs w:val="24"/>
        </w:rPr>
        <w:t>commonly needed</w:t>
      </w:r>
      <w:r>
        <w:rPr>
          <w:sz w:val="24"/>
          <w:szCs w:val="24"/>
        </w:rPr>
        <w:t xml:space="preserve">, open and usable. If you're not sure if a dataset should be a </w:t>
      </w:r>
      <w:proofErr w:type="gramStart"/>
      <w:r>
        <w:rPr>
          <w:sz w:val="24"/>
          <w:szCs w:val="24"/>
        </w:rPr>
        <w:t>COD</w:t>
      </w:r>
      <w:proofErr w:type="gramEnd"/>
      <w:r>
        <w:rPr>
          <w:sz w:val="24"/>
          <w:szCs w:val="24"/>
        </w:rPr>
        <w:t xml:space="preserve"> </w:t>
      </w:r>
      <w:hyperlink r:id="rId7">
        <w:r>
          <w:rPr>
            <w:color w:val="1155CC"/>
            <w:sz w:val="24"/>
            <w:szCs w:val="24"/>
            <w:u w:val="single"/>
          </w:rPr>
          <w:t>these simple criteria</w:t>
        </w:r>
      </w:hyperlink>
      <w:r>
        <w:rPr>
          <w:sz w:val="24"/>
          <w:szCs w:val="24"/>
        </w:rPr>
        <w:t xml:space="preserve"> can help. </w:t>
      </w:r>
    </w:p>
    <w:p w:rsidR="003D41CF" w:rsidRDefault="00653816">
      <w:pPr>
        <w:numPr>
          <w:ilvl w:val="0"/>
          <w:numId w:val="1"/>
        </w:numPr>
        <w:pBdr>
          <w:top w:val="nil"/>
          <w:left w:val="nil"/>
          <w:bottom w:val="nil"/>
          <w:right w:val="nil"/>
          <w:between w:val="nil"/>
        </w:pBdr>
        <w:ind w:left="450"/>
        <w:contextualSpacing/>
        <w:jc w:val="both"/>
        <w:rPr>
          <w:sz w:val="24"/>
          <w:szCs w:val="24"/>
        </w:rPr>
      </w:pPr>
      <w:r>
        <w:rPr>
          <w:sz w:val="24"/>
          <w:szCs w:val="24"/>
        </w:rPr>
        <w:t>OCHA is responsible for maintaining the two core CODs on administrative boundaries and population statistics.</w:t>
      </w:r>
    </w:p>
    <w:p w:rsidR="003D41CF" w:rsidRDefault="00653816">
      <w:pPr>
        <w:numPr>
          <w:ilvl w:val="0"/>
          <w:numId w:val="1"/>
        </w:numPr>
        <w:pBdr>
          <w:top w:val="nil"/>
          <w:left w:val="nil"/>
          <w:bottom w:val="nil"/>
          <w:right w:val="nil"/>
          <w:between w:val="nil"/>
        </w:pBdr>
        <w:ind w:left="450"/>
        <w:contextualSpacing/>
        <w:jc w:val="both"/>
        <w:rPr>
          <w:sz w:val="24"/>
          <w:szCs w:val="24"/>
        </w:rPr>
      </w:pPr>
      <w:r>
        <w:rPr>
          <w:sz w:val="24"/>
          <w:szCs w:val="24"/>
        </w:rPr>
        <w:t>At country-level, the RC/HC has overall responsibility for man</w:t>
      </w:r>
      <w:r>
        <w:rPr>
          <w:sz w:val="24"/>
          <w:szCs w:val="24"/>
        </w:rPr>
        <w:t>aging CODs. The local IMWG has day-to-day responsibility, while the UNCT, HCT and ICCG are expected to provide support and resources towards their management. Clusters and agencies may be responsible for one or more 'country-specific' datasets.</w:t>
      </w:r>
    </w:p>
    <w:p w:rsidR="003D41CF" w:rsidRDefault="003D41CF">
      <w:pPr>
        <w:jc w:val="both"/>
        <w:rPr>
          <w:sz w:val="24"/>
          <w:szCs w:val="24"/>
        </w:rPr>
      </w:pPr>
    </w:p>
    <w:p w:rsidR="003D41CF" w:rsidRDefault="00653816">
      <w:pPr>
        <w:pBdr>
          <w:top w:val="nil"/>
          <w:left w:val="nil"/>
          <w:bottom w:val="nil"/>
          <w:right w:val="nil"/>
          <w:between w:val="nil"/>
        </w:pBdr>
        <w:jc w:val="both"/>
        <w:rPr>
          <w:b/>
          <w:color w:val="999999"/>
          <w:sz w:val="28"/>
          <w:szCs w:val="28"/>
        </w:rPr>
      </w:pPr>
      <w:r>
        <w:rPr>
          <w:b/>
          <w:color w:val="999999"/>
          <w:sz w:val="28"/>
          <w:szCs w:val="28"/>
        </w:rPr>
        <w:t>Recommenda</w:t>
      </w:r>
      <w:r>
        <w:rPr>
          <w:b/>
          <w:color w:val="999999"/>
          <w:sz w:val="28"/>
          <w:szCs w:val="28"/>
        </w:rPr>
        <w:t>tions</w:t>
      </w:r>
    </w:p>
    <w:p w:rsidR="003D41CF" w:rsidRDefault="00653816">
      <w:pPr>
        <w:numPr>
          <w:ilvl w:val="0"/>
          <w:numId w:val="1"/>
        </w:numPr>
        <w:ind w:left="450"/>
        <w:contextualSpacing/>
        <w:jc w:val="both"/>
        <w:rPr>
          <w:sz w:val="24"/>
          <w:szCs w:val="24"/>
        </w:rPr>
      </w:pPr>
      <w:r>
        <w:rPr>
          <w:sz w:val="24"/>
          <w:szCs w:val="24"/>
        </w:rPr>
        <w:t>Share the new COD guidance with members of your IMWG. Review the guidance in detail at your next IMWG meeting and discuss how it can be implemented. Consider how the IMWG can raise awareness of the guidance with the HC, ICCG and HCT.</w:t>
      </w:r>
    </w:p>
    <w:p w:rsidR="003D41CF" w:rsidRDefault="00653816">
      <w:pPr>
        <w:numPr>
          <w:ilvl w:val="0"/>
          <w:numId w:val="1"/>
        </w:numPr>
        <w:ind w:left="450"/>
        <w:contextualSpacing/>
        <w:jc w:val="both"/>
        <w:rPr>
          <w:sz w:val="24"/>
          <w:szCs w:val="24"/>
        </w:rPr>
      </w:pPr>
      <w:r>
        <w:rPr>
          <w:sz w:val="24"/>
          <w:szCs w:val="24"/>
        </w:rPr>
        <w:t xml:space="preserve">Since the chair of the IMWG is now a permanent member of the ICCG (see </w:t>
      </w:r>
      <w:hyperlink r:id="rId8">
        <w:r>
          <w:rPr>
            <w:color w:val="1155CC"/>
            <w:sz w:val="24"/>
            <w:szCs w:val="24"/>
            <w:u w:val="single"/>
          </w:rPr>
          <w:t>guidance brief 01</w:t>
        </w:r>
      </w:hyperlink>
      <w:r>
        <w:rPr>
          <w:sz w:val="24"/>
          <w:szCs w:val="24"/>
        </w:rPr>
        <w:t xml:space="preserve">), discuss this guidance at an upcoming ICCG meeting. </w:t>
      </w:r>
      <w:proofErr w:type="spellStart"/>
      <w:r>
        <w:rPr>
          <w:sz w:val="24"/>
          <w:szCs w:val="24"/>
        </w:rPr>
        <w:t>Emphasise</w:t>
      </w:r>
      <w:proofErr w:type="spellEnd"/>
      <w:r>
        <w:rPr>
          <w:sz w:val="24"/>
          <w:szCs w:val="24"/>
        </w:rPr>
        <w:t xml:space="preserve"> </w:t>
      </w:r>
      <w:r>
        <w:rPr>
          <w:sz w:val="24"/>
          <w:szCs w:val="24"/>
        </w:rPr>
        <w:t>that the ICCG should define which datasets each cluster/sector should manage as 'country-specific' CODs. An early output should be endorsement of a 'COD data plan', listing which datasets will form the 'country-specific' CODs and which agency is responsibl</w:t>
      </w:r>
      <w:r>
        <w:rPr>
          <w:sz w:val="24"/>
          <w:szCs w:val="24"/>
        </w:rPr>
        <w:t>e for managing them.</w:t>
      </w:r>
    </w:p>
    <w:p w:rsidR="003D41CF" w:rsidRDefault="00653816">
      <w:pPr>
        <w:numPr>
          <w:ilvl w:val="0"/>
          <w:numId w:val="1"/>
        </w:numPr>
        <w:ind w:left="450"/>
        <w:contextualSpacing/>
        <w:jc w:val="both"/>
        <w:rPr>
          <w:sz w:val="24"/>
          <w:szCs w:val="24"/>
        </w:rPr>
      </w:pPr>
      <w:r>
        <w:rPr>
          <w:sz w:val="24"/>
          <w:szCs w:val="24"/>
        </w:rPr>
        <w:t xml:space="preserve">Review the two core CODs (administrative boundaries and population statistics) for your </w:t>
      </w:r>
      <w:r>
        <w:rPr>
          <w:sz w:val="24"/>
          <w:szCs w:val="24"/>
        </w:rPr>
        <w:t>country that OCHA is directly r</w:t>
      </w:r>
      <w:r w:rsidR="006232A3">
        <w:rPr>
          <w:sz w:val="24"/>
          <w:szCs w:val="24"/>
        </w:rPr>
        <w:t>esponsible and ensure they meeting the minimum standards</w:t>
      </w:r>
      <w:r w:rsidR="00CD16F0">
        <w:rPr>
          <w:sz w:val="24"/>
          <w:szCs w:val="24"/>
        </w:rPr>
        <w:t xml:space="preserve"> </w:t>
      </w:r>
      <w:hyperlink r:id="rId9" w:history="1">
        <w:r w:rsidR="00CD16F0" w:rsidRPr="00CD16F0">
          <w:rPr>
            <w:rStyle w:val="Hyperlink"/>
            <w:sz w:val="24"/>
            <w:szCs w:val="24"/>
          </w:rPr>
          <w:t>COD-AB</w:t>
        </w:r>
      </w:hyperlink>
      <w:r w:rsidR="00CD16F0">
        <w:rPr>
          <w:sz w:val="24"/>
          <w:szCs w:val="24"/>
        </w:rPr>
        <w:t xml:space="preserve"> and </w:t>
      </w:r>
      <w:hyperlink r:id="rId10" w:history="1">
        <w:r w:rsidR="00CD16F0" w:rsidRPr="00CD16F0">
          <w:rPr>
            <w:rStyle w:val="Hyperlink"/>
            <w:sz w:val="24"/>
            <w:szCs w:val="24"/>
          </w:rPr>
          <w:t>COD-PS</w:t>
        </w:r>
      </w:hyperlink>
      <w:r>
        <w:rPr>
          <w:sz w:val="24"/>
          <w:szCs w:val="24"/>
        </w:rPr>
        <w:t>.</w:t>
      </w:r>
      <w:r w:rsidR="00CD16F0">
        <w:rPr>
          <w:sz w:val="24"/>
          <w:szCs w:val="24"/>
        </w:rPr>
        <w:t xml:space="preserve"> </w:t>
      </w:r>
    </w:p>
    <w:p w:rsidR="003D41CF" w:rsidRDefault="003D41CF">
      <w:pPr>
        <w:jc w:val="both"/>
        <w:rPr>
          <w:color w:val="999999"/>
          <w:sz w:val="24"/>
          <w:szCs w:val="24"/>
        </w:rPr>
      </w:pPr>
    </w:p>
    <w:p w:rsidR="003D41CF" w:rsidRDefault="00653816">
      <w:pPr>
        <w:pBdr>
          <w:top w:val="nil"/>
          <w:left w:val="nil"/>
          <w:bottom w:val="nil"/>
          <w:right w:val="nil"/>
          <w:between w:val="nil"/>
        </w:pBdr>
        <w:jc w:val="both"/>
        <w:rPr>
          <w:b/>
          <w:color w:val="999999"/>
          <w:sz w:val="28"/>
          <w:szCs w:val="28"/>
        </w:rPr>
      </w:pPr>
      <w:r>
        <w:rPr>
          <w:b/>
          <w:color w:val="999999"/>
          <w:sz w:val="28"/>
          <w:szCs w:val="28"/>
        </w:rPr>
        <w:t>Links and further information</w:t>
      </w:r>
      <w:bookmarkStart w:id="0" w:name="_GoBack"/>
      <w:bookmarkEnd w:id="0"/>
    </w:p>
    <w:p w:rsidR="003D41CF" w:rsidRPr="00EE315D" w:rsidRDefault="00CD16F0">
      <w:pPr>
        <w:jc w:val="both"/>
        <w:rPr>
          <w:sz w:val="24"/>
          <w:szCs w:val="24"/>
        </w:rPr>
      </w:pPr>
      <w:hyperlink r:id="rId11" w:history="1">
        <w:r w:rsidR="00EE315D" w:rsidRPr="00EE315D">
          <w:rPr>
            <w:color w:val="1155CC"/>
            <w:sz w:val="24"/>
            <w:szCs w:val="24"/>
            <w:u w:val="single"/>
          </w:rPr>
          <w:t>Guidance on CODs in Emergency Preparedness and Response</w:t>
        </w:r>
      </w:hyperlink>
      <w:r w:rsidR="00653816" w:rsidRPr="00EE315D">
        <w:rPr>
          <w:color w:val="1155CC"/>
          <w:sz w:val="24"/>
          <w:szCs w:val="24"/>
        </w:rPr>
        <w:t xml:space="preserve"> </w:t>
      </w:r>
      <w:r w:rsidR="00653816" w:rsidRPr="00EE315D">
        <w:rPr>
          <w:sz w:val="24"/>
          <w:szCs w:val="24"/>
        </w:rPr>
        <w:t>(2016, EN)</w:t>
      </w:r>
    </w:p>
    <w:p w:rsidR="003D41CF" w:rsidRDefault="00653816">
      <w:pPr>
        <w:jc w:val="both"/>
        <w:rPr>
          <w:sz w:val="24"/>
          <w:szCs w:val="24"/>
        </w:rPr>
      </w:pPr>
      <w:hyperlink r:id="rId12">
        <w:r>
          <w:rPr>
            <w:color w:val="1155CC"/>
            <w:sz w:val="24"/>
            <w:szCs w:val="24"/>
            <w:u w:val="single"/>
          </w:rPr>
          <w:t>COD Technical Support Package</w:t>
        </w:r>
      </w:hyperlink>
      <w:r>
        <w:rPr>
          <w:sz w:val="24"/>
          <w:szCs w:val="24"/>
        </w:rPr>
        <w:t xml:space="preserve"> on the IM Toolbox</w:t>
      </w:r>
    </w:p>
    <w:p w:rsidR="003D41CF" w:rsidRDefault="00653816">
      <w:pPr>
        <w:jc w:val="both"/>
      </w:pPr>
      <w:r>
        <w:rPr>
          <w:sz w:val="24"/>
          <w:szCs w:val="24"/>
        </w:rPr>
        <w:t xml:space="preserve">FIS focal point: </w:t>
      </w:r>
      <w:hyperlink r:id="rId13">
        <w:r>
          <w:rPr>
            <w:color w:val="1155CC"/>
            <w:sz w:val="24"/>
            <w:szCs w:val="24"/>
            <w:u w:val="single"/>
          </w:rPr>
          <w:t>Janet O'Callaghan</w:t>
        </w:r>
      </w:hyperlink>
    </w:p>
    <w:sectPr w:rsidR="003D41CF">
      <w:footerReference w:type="default" r:id="rId14"/>
      <w:pgSz w:w="11906" w:h="16838"/>
      <w:pgMar w:top="576" w:right="720" w:bottom="576"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16" w:rsidRDefault="00653816">
      <w:pPr>
        <w:spacing w:line="240" w:lineRule="auto"/>
      </w:pPr>
      <w:r>
        <w:separator/>
      </w:r>
    </w:p>
  </w:endnote>
  <w:endnote w:type="continuationSeparator" w:id="0">
    <w:p w:rsidR="00653816" w:rsidRDefault="00653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CF" w:rsidRDefault="00653816">
    <w:pPr>
      <w:tabs>
        <w:tab w:val="right" w:pos="10530"/>
      </w:tabs>
      <w:rPr>
        <w:rFonts w:ascii="Avenir" w:eastAsia="Avenir" w:hAnsi="Avenir" w:cs="Avenir"/>
      </w:rPr>
    </w:pPr>
    <w:r>
      <w:rPr>
        <w:rFonts w:ascii="Avenir" w:eastAsia="Avenir" w:hAnsi="Avenir" w:cs="Avenir"/>
      </w:rPr>
      <w:t>Updated 26-Jan-18</w:t>
    </w:r>
    <w:r>
      <w:rPr>
        <w:rFonts w:ascii="Avenir" w:eastAsia="Avenir" w:hAnsi="Avenir" w:cs="Avenir"/>
      </w:rPr>
      <w:tab/>
      <w:t xml:space="preserve">Find more IM guidance briefs on the </w:t>
    </w:r>
    <w:hyperlink r:id="rId1">
      <w:r>
        <w:rPr>
          <w:rFonts w:ascii="Avenir" w:eastAsia="Avenir" w:hAnsi="Avenir" w:cs="Avenir"/>
          <w:color w:val="1155CC"/>
          <w:u w:val="single"/>
        </w:rPr>
        <w:t>IM Toolbox</w:t>
      </w:r>
    </w:hyperlink>
    <w:r>
      <w:rPr>
        <w:rFonts w:ascii="Avenir" w:eastAsia="Avenir" w:hAnsi="Avenir" w:cs="Avenir"/>
      </w:rPr>
      <w:t xml:space="preserve"> </w:t>
    </w:r>
  </w:p>
  <w:p w:rsidR="003D41CF" w:rsidRDefault="003D41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16" w:rsidRDefault="00653816">
      <w:pPr>
        <w:spacing w:line="240" w:lineRule="auto"/>
      </w:pPr>
      <w:r>
        <w:separator/>
      </w:r>
    </w:p>
  </w:footnote>
  <w:footnote w:type="continuationSeparator" w:id="0">
    <w:p w:rsidR="00653816" w:rsidRDefault="006538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6C03"/>
    <w:multiLevelType w:val="multilevel"/>
    <w:tmpl w:val="FFBED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41CF"/>
    <w:rsid w:val="00071B1C"/>
    <w:rsid w:val="003D41CF"/>
    <w:rsid w:val="006232A3"/>
    <w:rsid w:val="00653816"/>
    <w:rsid w:val="00CD16F0"/>
    <w:rsid w:val="00EE3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2B6B"/>
  <w15:docId w15:val="{76D263FA-B0D4-44B9-8226-7B971E8D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32A3"/>
    <w:pPr>
      <w:tabs>
        <w:tab w:val="center" w:pos="4680"/>
        <w:tab w:val="right" w:pos="9360"/>
      </w:tabs>
      <w:spacing w:line="240" w:lineRule="auto"/>
    </w:pPr>
  </w:style>
  <w:style w:type="character" w:customStyle="1" w:styleId="HeaderChar">
    <w:name w:val="Header Char"/>
    <w:basedOn w:val="DefaultParagraphFont"/>
    <w:link w:val="Header"/>
    <w:uiPriority w:val="99"/>
    <w:rsid w:val="006232A3"/>
  </w:style>
  <w:style w:type="paragraph" w:styleId="Footer">
    <w:name w:val="footer"/>
    <w:basedOn w:val="Normal"/>
    <w:link w:val="FooterChar"/>
    <w:uiPriority w:val="99"/>
    <w:unhideWhenUsed/>
    <w:rsid w:val="006232A3"/>
    <w:pPr>
      <w:tabs>
        <w:tab w:val="center" w:pos="4680"/>
        <w:tab w:val="right" w:pos="9360"/>
      </w:tabs>
      <w:spacing w:line="240" w:lineRule="auto"/>
    </w:pPr>
  </w:style>
  <w:style w:type="character" w:customStyle="1" w:styleId="FooterChar">
    <w:name w:val="Footer Char"/>
    <w:basedOn w:val="DefaultParagraphFont"/>
    <w:link w:val="Footer"/>
    <w:uiPriority w:val="99"/>
    <w:rsid w:val="006232A3"/>
  </w:style>
  <w:style w:type="character" w:styleId="Hyperlink">
    <w:name w:val="Hyperlink"/>
    <w:basedOn w:val="DefaultParagraphFont"/>
    <w:uiPriority w:val="99"/>
    <w:unhideWhenUsed/>
    <w:rsid w:val="00CD1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umanitarian.atlassian.net/wiki/spaces/imtoolbox/pages/219807872/IM+Guidance+Documents?preview=/219807872/221216785/IMGB%2001%20-%20Inter-Cluster%20Coordination%20Group%20(ICCG)%20TORs.docx" TargetMode="External"/><Relationship Id="rId13" Type="http://schemas.openxmlformats.org/officeDocument/2006/relationships/hyperlink" Target="https://humanitarian.id/users/58e493533f0e0d00aeec0d12" TargetMode="External"/><Relationship Id="rId3" Type="http://schemas.openxmlformats.org/officeDocument/2006/relationships/settings" Target="settings.xml"/><Relationship Id="rId7" Type="http://schemas.openxmlformats.org/officeDocument/2006/relationships/hyperlink" Target="https://humanitarian.atlassian.net/wiki/spaces/imtoolbox/pages/180125739/Identifying+a+COD" TargetMode="External"/><Relationship Id="rId12" Type="http://schemas.openxmlformats.org/officeDocument/2006/relationships/hyperlink" Target="https://humanitarian.atlassian.net/wiki/spaces/imtoolbox/pages/42045911/Common+Operational+Datasets+CO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itarian.atlassian.net/wiki/download/attachments/42045911/COD%20Guidance%20-%20Part%20I%20-%20IMWG%20_2016.pdf?version=1&amp;modificationDate=1526031489728&amp;cacheVersion=1&amp;api=v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tarian.atlassian.net/wiki/spaces/imtoolbox/pages/219644081/COD-PS+Standards+and+Process" TargetMode="External"/><Relationship Id="rId4" Type="http://schemas.openxmlformats.org/officeDocument/2006/relationships/webSettings" Target="webSettings.xml"/><Relationship Id="rId9" Type="http://schemas.openxmlformats.org/officeDocument/2006/relationships/hyperlink" Target="https://humanitarian.atlassian.net/wiki/spaces/imtoolbox/pages/219971654/COD-AB+Standards+and+Proc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umanitarian.atlassian.net/wiki/spaces/imtoolbox/pages/42043918/Policy+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Mackinnon</cp:lastModifiedBy>
  <cp:revision>4</cp:revision>
  <dcterms:created xsi:type="dcterms:W3CDTF">2018-05-15T07:17:00Z</dcterms:created>
  <dcterms:modified xsi:type="dcterms:W3CDTF">2018-05-15T07:34:00Z</dcterms:modified>
</cp:coreProperties>
</file>